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38BE" w14:textId="77777777" w:rsidR="00F304D8" w:rsidRDefault="00E760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6507AA" wp14:editId="3AE3BD8E">
            <wp:extent cx="502942" cy="68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64CB15" w14:textId="77777777" w:rsidR="00F304D8" w:rsidRDefault="00E76032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0CFBA5A" w14:textId="77777777" w:rsidR="00F304D8" w:rsidRDefault="00F304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CBA61" w14:textId="48F3109F" w:rsidR="00F304D8" w:rsidRDefault="00E76032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82403C">
        <w:rPr>
          <w:rFonts w:ascii="Times New Roman" w:eastAsia="Times New Roman" w:hAnsi="Times New Roman" w:cs="Times New Roman"/>
          <w:sz w:val="24"/>
          <w:szCs w:val="24"/>
        </w:rPr>
        <w:t>10. travnja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1AF6F11C" w14:textId="77777777" w:rsidR="00F304D8" w:rsidRDefault="00E760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a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7123"/>
      </w:tblGrid>
      <w:tr w:rsidR="00F304D8" w14:paraId="753C5383" w14:textId="77777777">
        <w:tc>
          <w:tcPr>
            <w:tcW w:w="1949" w:type="dxa"/>
          </w:tcPr>
          <w:p w14:paraId="0E8C8442" w14:textId="77777777" w:rsidR="00F304D8" w:rsidRDefault="00E7603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Predlagatelj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3FBA9D96" w14:textId="77777777" w:rsidR="00F304D8" w:rsidRDefault="00E760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265CC87F" w14:textId="77777777" w:rsidR="00F304D8" w:rsidRDefault="00E760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a0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7132"/>
      </w:tblGrid>
      <w:tr w:rsidR="00F304D8" w14:paraId="7741E8A4" w14:textId="77777777">
        <w:tc>
          <w:tcPr>
            <w:tcW w:w="1940" w:type="dxa"/>
          </w:tcPr>
          <w:p w14:paraId="50846602" w14:textId="77777777" w:rsidR="00F304D8" w:rsidRDefault="00E7603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Predmet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024A4B93" w14:textId="36DB42D7" w:rsidR="00F304D8" w:rsidRDefault="00E76032" w:rsidP="0082403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imenovanju agenta Republike Hrvatske u postupku rješavanja spora </w:t>
            </w:r>
            <w:r w:rsidR="00320509" w:rsidRPr="00320509">
              <w:rPr>
                <w:sz w:val="24"/>
                <w:szCs w:val="24"/>
              </w:rPr>
              <w:t>pred Vijećem Organizacije međunarodnog civilnog zrakoplovstva koji je protiv Republike Hrvatske pokrenula</w:t>
            </w:r>
            <w:r w:rsidR="00320509">
              <w:rPr>
                <w:sz w:val="24"/>
                <w:szCs w:val="24"/>
              </w:rPr>
              <w:t xml:space="preserve"> Ruska Federacija</w:t>
            </w:r>
          </w:p>
        </w:tc>
      </w:tr>
    </w:tbl>
    <w:p w14:paraId="3686DC29" w14:textId="77777777" w:rsidR="00F304D8" w:rsidRDefault="00E76032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B8CFC2" w14:textId="77777777" w:rsidR="00F304D8" w:rsidRDefault="00F304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072E87" w14:textId="77777777" w:rsidR="00F304D8" w:rsidRDefault="00F304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90BE00" w14:textId="77777777" w:rsidR="00F304D8" w:rsidRDefault="00F304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5A805" w14:textId="77777777" w:rsidR="00F304D8" w:rsidRDefault="00F304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B8D20" w14:textId="77777777" w:rsidR="00F304D8" w:rsidRDefault="00F304D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2981DF24" w14:textId="77777777" w:rsidR="00F304D8" w:rsidRDefault="00F304D8">
      <w:pPr>
        <w:sectPr w:rsidR="00F304D8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7C4CCC52" w14:textId="77777777" w:rsidR="00F304D8" w:rsidRDefault="00E7603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PRIJEDLOG</w:t>
      </w:r>
    </w:p>
    <w:p w14:paraId="29475DE7" w14:textId="77777777" w:rsidR="00F304D8" w:rsidRDefault="00F3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A20FD" w14:textId="77777777" w:rsidR="00F304D8" w:rsidRDefault="00E760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31. stavka 2. Zakona o Vladi Republike Hrvatske (</w:t>
      </w:r>
      <w:r w:rsidR="00927A3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927A3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br. 150/11., 119/14., 93/16., 116/18. i 80/22.), a u vezi s člankom 84. Konvencije o međunarodnom civilnom zrakoplovstvu (</w:t>
      </w:r>
      <w:r w:rsidR="00927A3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Narodne novine – Međunarodni ugovori</w:t>
      </w:r>
      <w:r w:rsidR="00927A3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broj 1/96</w:t>
      </w:r>
      <w:r w:rsidR="00927A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), Vlada Republike Hrvatske je na sjednici održanoj ___________________ 2024. donijela</w:t>
      </w:r>
    </w:p>
    <w:p w14:paraId="7E005AFB" w14:textId="77777777" w:rsidR="00F304D8" w:rsidRDefault="00F304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AF3D8D" w14:textId="77777777" w:rsidR="00F304D8" w:rsidRDefault="00E760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53D9397E" w14:textId="585443A1" w:rsidR="00F304D8" w:rsidRDefault="00E760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imenovanju agenta Republike Hrvatske </w:t>
      </w:r>
      <w:bookmarkStart w:id="1" w:name="_Hlk16129792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postupku rješavanja spora </w:t>
      </w:r>
      <w:bookmarkStart w:id="2" w:name="_Hlk161297899"/>
      <w:bookmarkEnd w:id="1"/>
      <w:r w:rsidR="00FF5B73">
        <w:rPr>
          <w:rFonts w:ascii="Times New Roman" w:eastAsia="Times New Roman" w:hAnsi="Times New Roman" w:cs="Times New Roman"/>
          <w:b/>
          <w:sz w:val="24"/>
          <w:szCs w:val="24"/>
        </w:rPr>
        <w:t xml:space="preserve">pred Vijećem Organizacije međunarodnog civilnog zrakoplovstva koji je protiv Republike Hrvatske pokrenula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Rusk</w:t>
      </w:r>
      <w:r w:rsidR="00FF5B7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Federacij</w:t>
      </w:r>
      <w:r w:rsidR="00FF5B7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7F6692" w14:textId="77777777" w:rsidR="00F304D8" w:rsidRDefault="00F304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EDA09" w14:textId="77777777" w:rsidR="00F304D8" w:rsidRDefault="00E760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44F73CC" w14:textId="78C5CA97" w:rsidR="00F304D8" w:rsidRDefault="00927A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Imenuje se Dinko Staničić, načelnik Sektora zračnog prometa u Upravi zračnog prometa, elektroničkih komunikacija i pošte</w:t>
      </w:r>
      <w:r w:rsidR="00320509" w:rsidRPr="00320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09">
        <w:rPr>
          <w:rFonts w:ascii="Times New Roman" w:eastAsia="Times New Roman" w:hAnsi="Times New Roman" w:cs="Times New Roman"/>
          <w:sz w:val="24"/>
          <w:szCs w:val="24"/>
        </w:rPr>
        <w:t>Ministarstva mora, prometa i infrastrukture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agentom Republike Hrvatske u postupku rješavanja spora pred Vijećem Organizacije međunarodnog civilnog zrakoplovstva </w:t>
      </w:r>
      <w:r w:rsidR="00FF5B73">
        <w:rPr>
          <w:rFonts w:ascii="Times New Roman" w:eastAsia="Times New Roman" w:hAnsi="Times New Roman" w:cs="Times New Roman"/>
          <w:sz w:val="24"/>
          <w:szCs w:val="24"/>
        </w:rPr>
        <w:t xml:space="preserve">koji je </w:t>
      </w:r>
      <w:r>
        <w:rPr>
          <w:rFonts w:ascii="Times New Roman" w:eastAsia="Times New Roman" w:hAnsi="Times New Roman" w:cs="Times New Roman"/>
          <w:sz w:val="24"/>
          <w:szCs w:val="24"/>
        </w:rPr>
        <w:t>protiv Republike Hrvatske pokrenula Ruska Federacija.</w:t>
      </w:r>
    </w:p>
    <w:p w14:paraId="671A1B7E" w14:textId="77777777" w:rsidR="00F304D8" w:rsidRPr="00503826" w:rsidRDefault="00E760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826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</w:p>
    <w:p w14:paraId="6F9DAE6D" w14:textId="29F8A829" w:rsidR="00503826" w:rsidRPr="00436CE7" w:rsidRDefault="00503826" w:rsidP="00436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E7">
        <w:rPr>
          <w:rFonts w:ascii="Times New Roman" w:eastAsia="Times New Roman" w:hAnsi="Times New Roman" w:cs="Times New Roman"/>
          <w:sz w:val="24"/>
          <w:szCs w:val="24"/>
        </w:rPr>
        <w:t xml:space="preserve">Zadužuje se Ministarstvo </w:t>
      </w:r>
      <w:r>
        <w:rPr>
          <w:rFonts w:ascii="Times New Roman" w:eastAsia="Times New Roman" w:hAnsi="Times New Roman" w:cs="Times New Roman"/>
          <w:sz w:val="24"/>
          <w:szCs w:val="24"/>
        </w:rPr>
        <w:t>mora, pro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meta i infrastrukture da u konzultacijama i koordinaciji s Ministarstvom vanjskih i europskih poslova pripremi podneske u postupku rješavanja spora s Ru</w:t>
      </w:r>
      <w:r w:rsidR="00634A9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kom Federacijom pred Vijećem Organizacije međunarodnog civilnog zrakoplovstva.</w:t>
      </w:r>
    </w:p>
    <w:p w14:paraId="0F397CE4" w14:textId="77777777" w:rsidR="00503826" w:rsidRPr="00436CE7" w:rsidRDefault="00503826" w:rsidP="00436C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2B7902E2" w14:textId="17194CD6" w:rsidR="00F304D8" w:rsidRDefault="00E760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Ovlašćuje se agent Republike Hrvatske </w:t>
      </w:r>
      <w:r w:rsidR="009028F4">
        <w:rPr>
          <w:rFonts w:ascii="Times New Roman" w:eastAsia="Times New Roman" w:hAnsi="Times New Roman" w:cs="Times New Roman"/>
          <w:sz w:val="24"/>
          <w:szCs w:val="24"/>
        </w:rPr>
        <w:t xml:space="preserve">iz točke I. ove Odluke </w:t>
      </w:r>
      <w:r w:rsidR="00FF5B73">
        <w:rPr>
          <w:rFonts w:ascii="Times New Roman" w:eastAsia="Times New Roman" w:hAnsi="Times New Roman" w:cs="Times New Roman"/>
          <w:sz w:val="24"/>
          <w:szCs w:val="24"/>
        </w:rPr>
        <w:t xml:space="preserve">da, u ime Republike Hrvatske, </w:t>
      </w:r>
      <w:r w:rsidR="00503826">
        <w:rPr>
          <w:rFonts w:ascii="Times New Roman" w:eastAsia="Times New Roman" w:hAnsi="Times New Roman" w:cs="Times New Roman"/>
          <w:sz w:val="24"/>
          <w:szCs w:val="24"/>
        </w:rPr>
        <w:t xml:space="preserve">potpiše podneske iz točke II. ove Odluke. </w:t>
      </w:r>
    </w:p>
    <w:p w14:paraId="5D29C641" w14:textId="22F094FB" w:rsidR="00503826" w:rsidRPr="00503826" w:rsidRDefault="00503826" w:rsidP="005038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1fob9te" w:colFirst="0" w:colLast="0"/>
      <w:bookmarkEnd w:id="4"/>
      <w:r w:rsidRPr="00503826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26A781A2" w14:textId="6C16E22F" w:rsidR="00F304D8" w:rsidRDefault="00503826" w:rsidP="00436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Zadužuj</w:t>
      </w:r>
      <w:r w:rsidR="00436CE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Ministarstvo mora, prometa i infrastrukture za provedbu ove Odluke </w:t>
      </w:r>
      <w:r w:rsidR="00436CE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za koordinaciju svih aktivnosti vezanih uz postupanje Republike Hrvatske u postupku pred Vijećem Organizacije međunarodnog civilnog</w:t>
      </w:r>
      <w:r w:rsidR="00436CE7">
        <w:rPr>
          <w:rFonts w:ascii="Times New Roman" w:eastAsia="Times New Roman" w:hAnsi="Times New Roman" w:cs="Times New Roman"/>
          <w:sz w:val="24"/>
          <w:szCs w:val="24"/>
        </w:rPr>
        <w:t xml:space="preserve"> zrakoplovstva.</w:t>
      </w:r>
    </w:p>
    <w:p w14:paraId="20D82139" w14:textId="3A4D73DC" w:rsidR="009028F4" w:rsidRPr="009028F4" w:rsidRDefault="009028F4" w:rsidP="009028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F4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0B17F0AB" w14:textId="77777777" w:rsidR="009028F4" w:rsidRDefault="009028F4" w:rsidP="0090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4862A31A" w14:textId="77777777" w:rsidR="009028F4" w:rsidRPr="009028F4" w:rsidRDefault="009028F4" w:rsidP="00A2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4EB6A" w14:textId="77777777" w:rsidR="00F304D8" w:rsidRDefault="00E76032" w:rsidP="00A2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KLASA: </w:t>
      </w:r>
    </w:p>
    <w:p w14:paraId="3A67E087" w14:textId="77777777" w:rsidR="00F304D8" w:rsidRDefault="00E76032" w:rsidP="00A2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URBROJ: </w:t>
      </w:r>
    </w:p>
    <w:p w14:paraId="3E1D7C87" w14:textId="77777777" w:rsidR="00F304D8" w:rsidRDefault="00E76032" w:rsidP="00A2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Zagreb,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 2024.</w:t>
      </w:r>
    </w:p>
    <w:p w14:paraId="0C3F1D97" w14:textId="77777777" w:rsidR="00F304D8" w:rsidRDefault="00F304D8" w:rsidP="00A2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ED576" w14:textId="6AFBF2DB" w:rsidR="00F304D8" w:rsidRDefault="00E76032" w:rsidP="00A21EC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0D300522" w14:textId="5EA0AC19" w:rsidR="00436CE7" w:rsidRDefault="00E76032" w:rsidP="00A21EC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Andrej Plenković</w:t>
      </w:r>
    </w:p>
    <w:p w14:paraId="0641A72C" w14:textId="2FCDB1A5" w:rsidR="00A21EC3" w:rsidRDefault="00A21E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FB6F0D8" w14:textId="77777777" w:rsidR="00F304D8" w:rsidRDefault="00E76032" w:rsidP="00436C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14:paraId="4842483D" w14:textId="061600B6" w:rsidR="00F304D8" w:rsidRDefault="00E7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Izaslanstvo Ruske Federacije 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 xml:space="preserve">pri </w:t>
      </w:r>
      <w:r w:rsidR="00B02024" w:rsidRPr="00B02024">
        <w:rPr>
          <w:rFonts w:ascii="Times New Roman" w:eastAsia="Times New Roman" w:hAnsi="Times New Roman" w:cs="Times New Roman"/>
          <w:sz w:val="24"/>
          <w:szCs w:val="24"/>
        </w:rPr>
        <w:t xml:space="preserve">Organizaciji međunarodnog civilnog zrakoplovstva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svojim je 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 xml:space="preserve">pismom </w:t>
      </w:r>
      <w:r>
        <w:rPr>
          <w:rFonts w:ascii="Times New Roman" w:eastAsia="Times New Roman" w:hAnsi="Times New Roman" w:cs="Times New Roman"/>
          <w:sz w:val="24"/>
          <w:szCs w:val="24"/>
        </w:rPr>
        <w:t>od 10. listopada 2023.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 skladu s člankom 84. Konvencije o međunarodnom civilnom zrakoplovstvu (nadalje: Konvencija), </w:t>
      </w:r>
      <w:bookmarkStart w:id="5" w:name="_Hlk161294579"/>
      <w:r>
        <w:rPr>
          <w:rFonts w:ascii="Times New Roman" w:eastAsia="Times New Roman" w:hAnsi="Times New Roman" w:cs="Times New Roman"/>
          <w:sz w:val="24"/>
          <w:szCs w:val="24"/>
        </w:rPr>
        <w:t xml:space="preserve">Organizaciji međunarodnog civilnog zrakoplovstva </w:t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(nadalje: ICAO) 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 xml:space="preserve">dostavilo </w:t>
      </w:r>
      <w:r>
        <w:rPr>
          <w:rFonts w:ascii="Times New Roman" w:eastAsia="Times New Roman" w:hAnsi="Times New Roman" w:cs="Times New Roman"/>
          <w:sz w:val="24"/>
          <w:szCs w:val="24"/>
        </w:rPr>
        <w:t>zahtjev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 xml:space="preserve"> i memorijal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rješavanje sporova s 37 država članica ICAO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 xml:space="preserve">vezano uz </w:t>
      </w:r>
      <w:r>
        <w:rPr>
          <w:rFonts w:ascii="Times New Roman" w:eastAsia="Times New Roman" w:hAnsi="Times New Roman" w:cs="Times New Roman"/>
          <w:sz w:val="24"/>
          <w:szCs w:val="24"/>
        </w:rPr>
        <w:t>pitanj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kršenja odred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Konvencije i njenih 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odataka.</w:t>
      </w:r>
    </w:p>
    <w:p w14:paraId="31DA27B9" w14:textId="77777777" w:rsidR="00F304D8" w:rsidRDefault="00F304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2BCB3" w14:textId="59A5DDE1" w:rsidR="00F304D8" w:rsidRDefault="00E76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Navedenim </w:t>
      </w:r>
      <w:r w:rsidR="00B02024">
        <w:rPr>
          <w:rFonts w:ascii="Times New Roman" w:eastAsia="Times New Roman" w:hAnsi="Times New Roman" w:cs="Times New Roman"/>
          <w:sz w:val="24"/>
          <w:szCs w:val="24"/>
        </w:rPr>
        <w:t xml:space="preserve">podneskom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Ruske Federacije obuhvaćeno je svih 27 država članica Europske unije te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Republika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Albanija, Crna Gora, Island, Kanada,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Kneževina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Monako,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Kraljevina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Norveška, Sjedinjene Američke Države,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Republika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Sjeverna Makedonija, Švicarska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Konfederacija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Ujedinjena Kraljevina </w:t>
      </w:r>
      <w:bookmarkStart w:id="6" w:name="_Hlk161297745"/>
      <w:r>
        <w:rPr>
          <w:rFonts w:ascii="Times New Roman" w:eastAsia="Times New Roman" w:hAnsi="Times New Roman" w:cs="Times New Roman"/>
          <w:sz w:val="24"/>
          <w:szCs w:val="24"/>
        </w:rPr>
        <w:t>Velike Britanije i Sjeverne Irske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DE65C" w14:textId="77777777" w:rsidR="00BE3EA3" w:rsidRDefault="00BE3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B2E43" w14:textId="6BAFFDE2" w:rsidR="00F304D8" w:rsidRDefault="00E7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Prema zahtjevu i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memorijalu </w:t>
      </w:r>
      <w:r>
        <w:rPr>
          <w:rFonts w:ascii="Times New Roman" w:eastAsia="Times New Roman" w:hAnsi="Times New Roman" w:cs="Times New Roman"/>
          <w:sz w:val="24"/>
          <w:szCs w:val="24"/>
        </w:rPr>
        <w:t>Ruske Federacije, navedene države od 24. veljače 2022.  primjenjuju nezakonite jednostrane restriktivne mjere diskriminirajuće prirode protiv Ruske Federacije kršeći članke 4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9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b), 11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15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22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28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37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38., 44. (st.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82. i 87. Konvencije, kao i njenih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odataka. Po zaprimanju zahtjeva Ruske Federacije, u skladu s primjenjivim pravilima,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lavni tajnik ICAO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potvrdio je da je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 odnosni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ahtjev u skladu s propisanom formom te je preslike zahtjeva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i memorijala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Ruske Federacije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dostavio </w:t>
      </w:r>
      <w:r w:rsidR="00247B98">
        <w:rPr>
          <w:rFonts w:ascii="Times New Roman" w:eastAsia="Times New Roman" w:hAnsi="Times New Roman" w:cs="Times New Roman"/>
          <w:sz w:val="24"/>
          <w:szCs w:val="24"/>
        </w:rPr>
        <w:t xml:space="preserve">državama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protiv kojih je </w:t>
      </w:r>
      <w:r>
        <w:rPr>
          <w:rFonts w:ascii="Times New Roman" w:eastAsia="Times New Roman" w:hAnsi="Times New Roman" w:cs="Times New Roman"/>
          <w:sz w:val="24"/>
          <w:szCs w:val="24"/>
        </w:rPr>
        <w:t>Rusk</w:t>
      </w:r>
      <w:r w:rsidR="00247B9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Federacij</w:t>
      </w:r>
      <w:r w:rsidR="00247B98">
        <w:rPr>
          <w:rFonts w:ascii="Times New Roman" w:eastAsia="Times New Roman" w:hAnsi="Times New Roman" w:cs="Times New Roman"/>
          <w:sz w:val="24"/>
          <w:szCs w:val="24"/>
        </w:rPr>
        <w:t>a pokrenula postupak rješavanja sporova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2AAE2F" w14:textId="77777777" w:rsidR="00F304D8" w:rsidRDefault="00F304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925DB" w14:textId="48FAD4F4" w:rsidR="00F304D8" w:rsidRDefault="00E76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Jednostrane restriktivne mjere koje u svojem podnesku </w:t>
      </w:r>
      <w:r w:rsidR="004B55A4">
        <w:rPr>
          <w:rFonts w:ascii="Times New Roman" w:eastAsia="Times New Roman" w:hAnsi="Times New Roman" w:cs="Times New Roman"/>
          <w:sz w:val="24"/>
          <w:szCs w:val="24"/>
        </w:rPr>
        <w:t xml:space="preserve">navodi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Ruska Federacija su sankcije koje su usvojene uslijed vojnih aktivnosti Ruske Federacije na državnom području Ukrajine što je u Republici Hrvatskoj provedeno Odlukom o zabrani ulaska, izlaska i preleta u i iz područja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informacija Zagreb zračnim prijevoznicima Ruske Federacije koju je Vlada Republike Hrvatske donijela na 104. sjednici održanoj 28. veljače 2022.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je ovu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dluku donijela u vezi s Uredbom Vijeća (EU) 2022/334 od 28. veljače 2022.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eastAsia="Times New Roman" w:hAnsi="Times New Roman" w:cs="Times New Roman"/>
          <w:sz w:val="24"/>
          <w:szCs w:val="24"/>
        </w:rPr>
        <w:t>o izmjeni Uredbe Vijeća (EU) br. 833/2014 o mjerama ograničavanja s obzirom na djelovanja Rusije kojima se destabilizira stanje u Ukrajini</w:t>
      </w:r>
      <w:r w:rsidR="004B55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B55A4" w:rsidRPr="004B55A4">
        <w:rPr>
          <w:rFonts w:ascii="Times New Roman" w:eastAsia="Times New Roman" w:hAnsi="Times New Roman" w:cs="Times New Roman"/>
          <w:sz w:val="24"/>
          <w:szCs w:val="24"/>
        </w:rPr>
        <w:t>SL L 57, 28.2.2022</w:t>
      </w:r>
      <w:r w:rsidR="004B55A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 području zračnog prometa ove sankcije se odnose na raskid postojećih ugovora o zajmu zrakoplova ruskih zračnih prijevoznika, raskide ugovora o osiguranju i reosiguranju zrakoplova ruskih zračnih prijevoznika kao i zabrana održavanja i popravaka zrakoplova ruskih zračnih prijevoznika, osim vizualnih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pretpoletnih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pregleda.</w:t>
      </w:r>
    </w:p>
    <w:p w14:paraId="15DE01E0" w14:textId="77777777" w:rsidR="00F304D8" w:rsidRDefault="00F3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AB483" w14:textId="169E3DC2" w:rsidR="00F304D8" w:rsidRDefault="00E76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Države članice Europske unije i Ujedinjena Kraljevina</w:t>
      </w:r>
      <w:r w:rsidR="00415AAC" w:rsidRPr="00415AAC">
        <w:t xml:space="preserve"> </w:t>
      </w:r>
      <w:r w:rsidR="00415AAC" w:rsidRPr="00415AAC">
        <w:rPr>
          <w:rFonts w:ascii="Times New Roman" w:eastAsia="Times New Roman" w:hAnsi="Times New Roman" w:cs="Times New Roman"/>
          <w:sz w:val="24"/>
          <w:szCs w:val="24"/>
        </w:rPr>
        <w:t>Velike Britanije i Sjeverne Irske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uvele i dodatne mjere kojima zračnim prijevoznicima Ruske Federacije, zrakoplovima i prijevoznicima unajmljenim ili na bilo koji način povezanim s državljanima Ruske Federacije zabranjuje korištenje zračnog prostora te slijetanja i polijetanja na zračna luke na teritoriju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 tih država članica. Navedenom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dlukom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Republike Hrvatske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od 28. veljače 2022. godine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zračnim prijevoznicima Ruske Federacije kao i zrakoplovima unajmljenim, operiranim ili u vlasništvu državljana Ruske Federacije uvodi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zabrana korištenja područja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informacija Zagreb, a time zapravo i zabrana polijetanja i slijetanja sa zračnih luka u Republici Hrvatskoj.</w:t>
      </w:r>
    </w:p>
    <w:p w14:paraId="2CEBB9AB" w14:textId="77777777" w:rsidR="00F304D8" w:rsidRDefault="00F3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E696C" w14:textId="338B95BA" w:rsidR="008E7581" w:rsidRDefault="00E7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Postupak u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okviru </w:t>
      </w:r>
      <w:r>
        <w:rPr>
          <w:rFonts w:ascii="Times New Roman" w:eastAsia="Times New Roman" w:hAnsi="Times New Roman" w:cs="Times New Roman"/>
          <w:sz w:val="24"/>
          <w:szCs w:val="24"/>
        </w:rPr>
        <w:t>ICAO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započeo potvrdom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lavnog tajnika da je zahtjev</w:t>
      </w:r>
      <w:r w:rsidR="008E7581">
        <w:rPr>
          <w:rFonts w:ascii="Times New Roman" w:eastAsia="Times New Roman" w:hAnsi="Times New Roman" w:cs="Times New Roman"/>
          <w:sz w:val="24"/>
          <w:szCs w:val="24"/>
        </w:rPr>
        <w:t xml:space="preserve"> u skladu s propisanom formom no državama članicama je prijevod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zahtjeva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i memorijala </w:t>
      </w:r>
      <w:r w:rsidR="008E7581">
        <w:rPr>
          <w:rFonts w:ascii="Times New Roman" w:eastAsia="Times New Roman" w:hAnsi="Times New Roman" w:cs="Times New Roman"/>
          <w:sz w:val="24"/>
          <w:szCs w:val="24"/>
        </w:rPr>
        <w:t xml:space="preserve">s ruskog jezika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E7581">
        <w:rPr>
          <w:rFonts w:ascii="Times New Roman" w:eastAsia="Times New Roman" w:hAnsi="Times New Roman" w:cs="Times New Roman"/>
          <w:sz w:val="24"/>
          <w:szCs w:val="24"/>
        </w:rPr>
        <w:t xml:space="preserve">ostale </w:t>
      </w:r>
      <w:r>
        <w:rPr>
          <w:rFonts w:ascii="Times New Roman" w:eastAsia="Times New Roman" w:hAnsi="Times New Roman" w:cs="Times New Roman"/>
          <w:sz w:val="24"/>
          <w:szCs w:val="24"/>
        </w:rPr>
        <w:t>službene jezike ICAO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(arapski, kineski, engleski, francuski</w:t>
      </w:r>
      <w:r w:rsidR="008E758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španjolski</w:t>
      </w:r>
      <w:r w:rsidR="00F171E8">
        <w:rPr>
          <w:rFonts w:ascii="Times New Roman" w:eastAsia="Times New Roman" w:hAnsi="Times New Roman" w:cs="Times New Roman"/>
          <w:sz w:val="24"/>
          <w:szCs w:val="24"/>
        </w:rPr>
        <w:t xml:space="preserve"> jezik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7581">
        <w:rPr>
          <w:rFonts w:ascii="Times New Roman" w:eastAsia="Times New Roman" w:hAnsi="Times New Roman" w:cs="Times New Roman"/>
          <w:sz w:val="24"/>
          <w:szCs w:val="24"/>
        </w:rPr>
        <w:t xml:space="preserve">dostavljen 2. veljače 2024. godine nakon čega je za većinu država članica i počela detaljnija analiza </w:t>
      </w:r>
      <w:r w:rsidR="00F171E8">
        <w:rPr>
          <w:rFonts w:ascii="Times New Roman" w:eastAsia="Times New Roman" w:hAnsi="Times New Roman" w:cs="Times New Roman"/>
          <w:sz w:val="24"/>
          <w:szCs w:val="24"/>
        </w:rPr>
        <w:t>podneska</w:t>
      </w:r>
      <w:r w:rsidR="008E7581">
        <w:rPr>
          <w:rFonts w:ascii="Times New Roman" w:eastAsia="Times New Roman" w:hAnsi="Times New Roman" w:cs="Times New Roman"/>
          <w:sz w:val="24"/>
          <w:szCs w:val="24"/>
        </w:rPr>
        <w:t xml:space="preserve"> Ruske Federacije.</w:t>
      </w:r>
    </w:p>
    <w:p w14:paraId="0B073F8C" w14:textId="77777777" w:rsidR="008E7581" w:rsidRDefault="008E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E91D0" w14:textId="4882D8AC" w:rsidR="00F304D8" w:rsidRDefault="008E7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76032">
        <w:rPr>
          <w:rFonts w:ascii="Times New Roman" w:eastAsia="Times New Roman" w:hAnsi="Times New Roman" w:cs="Times New Roman"/>
          <w:sz w:val="24"/>
          <w:szCs w:val="24"/>
        </w:rPr>
        <w:t>a Vijeću ICAO</w:t>
      </w:r>
      <w:r w:rsidR="00415AAC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r w:rsidR="00E76032">
        <w:rPr>
          <w:rFonts w:ascii="Times New Roman" w:eastAsia="Times New Roman" w:hAnsi="Times New Roman" w:cs="Times New Roman"/>
          <w:sz w:val="24"/>
          <w:szCs w:val="24"/>
        </w:rPr>
        <w:t xml:space="preserve">da utvrdi rokove kojima se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uređuje </w:t>
      </w:r>
      <w:r w:rsidR="00E76032">
        <w:rPr>
          <w:rFonts w:ascii="Times New Roman" w:eastAsia="Times New Roman" w:hAnsi="Times New Roman" w:cs="Times New Roman"/>
          <w:sz w:val="24"/>
          <w:szCs w:val="24"/>
        </w:rPr>
        <w:t xml:space="preserve">daljnja dinamika za predaju podnesaka država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protiv kojih je Ruska Federacija podnijela zahtjev, odnosno pokrenula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lastRenderedPageBreak/>
        <w:t>postupak za rješavanje spora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. Vijeće ICAO je tijekom zasjedanja na svojoj 231. sjednici, 15. ožujka 2024. godine utvrdilo rok za odgovor 37 država u ovom postupku – sukladno dosadašnjoj praksi Vijeća ICAO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utvrđen je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rok za predaju podneska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12 tjedana od odluke Vijeća ICAO,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gdje je </w:t>
      </w:r>
      <w:r w:rsidR="004433B9">
        <w:rPr>
          <w:rFonts w:ascii="Times New Roman" w:eastAsia="Times New Roman" w:hAnsi="Times New Roman" w:cs="Times New Roman"/>
          <w:sz w:val="24"/>
          <w:szCs w:val="24"/>
        </w:rPr>
        <w:t xml:space="preserve">istek roka je 7. lipnja 2024. godine. </w:t>
      </w:r>
    </w:p>
    <w:p w14:paraId="7D6CC2D8" w14:textId="77777777" w:rsidR="00F304D8" w:rsidRDefault="00F3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42910" w14:textId="012E7E74" w:rsidR="00F304D8" w:rsidRDefault="00E7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Jedan od </w:t>
      </w:r>
      <w:proofErr w:type="spellStart"/>
      <w:r w:rsidR="00BE3EA3">
        <w:rPr>
          <w:rFonts w:ascii="Times New Roman" w:eastAsia="Times New Roman" w:hAnsi="Times New Roman" w:cs="Times New Roman"/>
          <w:sz w:val="24"/>
          <w:szCs w:val="24"/>
        </w:rPr>
        <w:t>postupovnih</w:t>
      </w:r>
      <w:proofErr w:type="spellEnd"/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 uvjeta </w:t>
      </w:r>
      <w:r>
        <w:rPr>
          <w:rFonts w:ascii="Times New Roman" w:eastAsia="Times New Roman" w:hAnsi="Times New Roman" w:cs="Times New Roman"/>
          <w:sz w:val="24"/>
          <w:szCs w:val="24"/>
        </w:rPr>
        <w:t>za države</w:t>
      </w:r>
      <w:r w:rsidR="008E7581">
        <w:rPr>
          <w:rFonts w:ascii="Times New Roman" w:eastAsia="Times New Roman" w:hAnsi="Times New Roman" w:cs="Times New Roman"/>
          <w:sz w:val="24"/>
          <w:szCs w:val="24"/>
        </w:rPr>
        <w:t xml:space="preserve"> navedene u podnesku Ruske Federacije, sukladno ICAO Pravilima za rješavanje sporova (ICAO Dokument br. 7782),</w:t>
      </w:r>
      <w:r w:rsidR="00813756">
        <w:rPr>
          <w:rFonts w:ascii="Times New Roman" w:eastAsia="Times New Roman" w:hAnsi="Times New Roman" w:cs="Times New Roman"/>
          <w:sz w:val="24"/>
          <w:szCs w:val="24"/>
        </w:rPr>
        <w:t xml:space="preserve"> je i imenovanje agenta ovlaštenog za zastupanje pojedine države članice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u postupku pred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Vijeć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ICAO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-a</w:t>
      </w:r>
      <w:r w:rsidR="00813756">
        <w:rPr>
          <w:rFonts w:ascii="Times New Roman" w:eastAsia="Times New Roman" w:hAnsi="Times New Roman" w:cs="Times New Roman"/>
          <w:sz w:val="24"/>
          <w:szCs w:val="24"/>
        </w:rPr>
        <w:t xml:space="preserve">. O ovome </w:t>
      </w:r>
      <w:r>
        <w:rPr>
          <w:rFonts w:ascii="Times New Roman" w:eastAsia="Times New Roman" w:hAnsi="Times New Roman" w:cs="Times New Roman"/>
          <w:sz w:val="24"/>
          <w:szCs w:val="24"/>
        </w:rPr>
        <w:t>se prethodno vodila rasprava na sastancima radnih tijela i</w:t>
      </w:r>
      <w:r w:rsidR="00813756">
        <w:rPr>
          <w:rFonts w:ascii="Times New Roman" w:eastAsia="Times New Roman" w:hAnsi="Times New Roman" w:cs="Times New Roman"/>
          <w:sz w:val="24"/>
          <w:szCs w:val="24"/>
        </w:rPr>
        <w:t xml:space="preserve"> skupina Vijeća Europske unije </w:t>
      </w:r>
      <w:r>
        <w:rPr>
          <w:rFonts w:ascii="Times New Roman" w:eastAsia="Times New Roman" w:hAnsi="Times New Roman" w:cs="Times New Roman"/>
          <w:sz w:val="24"/>
          <w:szCs w:val="24"/>
        </w:rPr>
        <w:t>temeljem prijedloga Europske komisije da se</w:t>
      </w:r>
      <w:r w:rsidR="004B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756">
        <w:rPr>
          <w:rFonts w:ascii="Times New Roman" w:eastAsia="Times New Roman" w:hAnsi="Times New Roman" w:cs="Times New Roman"/>
          <w:sz w:val="24"/>
          <w:szCs w:val="24"/>
        </w:rPr>
        <w:t>Europsku k</w:t>
      </w:r>
      <w:r w:rsidR="004B55A4">
        <w:rPr>
          <w:rFonts w:ascii="Times New Roman" w:eastAsia="Times New Roman" w:hAnsi="Times New Roman" w:cs="Times New Roman"/>
          <w:sz w:val="24"/>
          <w:szCs w:val="24"/>
        </w:rPr>
        <w:t>omisiju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imenuje kao jednog agenta za sve države članice Europske unije, od čega se odustalo.</w:t>
      </w:r>
      <w:r w:rsidR="001C3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ovim sastancima se također počelo raspravljati i o strategiji u ovom postupku gdje je također posebno naglašeno da je nužno usko koordinirati postupanja i s 10 preostalih država navedenih u podnesku Ruske Federacije (ne-članice E</w:t>
      </w:r>
      <w:r w:rsidR="00415AAC">
        <w:rPr>
          <w:rFonts w:ascii="Times New Roman" w:eastAsia="Times New Roman" w:hAnsi="Times New Roman" w:cs="Times New Roman"/>
          <w:sz w:val="24"/>
          <w:szCs w:val="24"/>
        </w:rPr>
        <w:t>uropske unije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C83762" w14:textId="0FD045AE" w:rsidR="00F304D8" w:rsidRDefault="00F3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8C02" w14:textId="070E5BCB" w:rsidR="00F304D8" w:rsidRDefault="00E7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Ovom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dlukom se predlaže imenovanje Dinka Staničića, načelnika Sektora zračnog prometa u Upravi zračnog prometa, elektroničkih komunikacija i pošte</w:t>
      </w:r>
      <w:r w:rsidR="00BE3EA3" w:rsidRPr="00BE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>Ministarstva mora, prometa i infrastrukture</w:t>
      </w:r>
      <w:r>
        <w:rPr>
          <w:rFonts w:ascii="Times New Roman" w:eastAsia="Times New Roman" w:hAnsi="Times New Roman" w:cs="Times New Roman"/>
          <w:sz w:val="24"/>
          <w:szCs w:val="24"/>
        </w:rPr>
        <w:t>, agentom Republike Hrvatske</w:t>
      </w:r>
      <w:r w:rsidR="00415AAC" w:rsidRPr="00415AAC">
        <w:t xml:space="preserve"> </w:t>
      </w:r>
      <w:r w:rsidR="00415AAC" w:rsidRPr="00415AAC">
        <w:rPr>
          <w:rFonts w:ascii="Times New Roman" w:eastAsia="Times New Roman" w:hAnsi="Times New Roman" w:cs="Times New Roman"/>
          <w:sz w:val="24"/>
          <w:szCs w:val="24"/>
        </w:rPr>
        <w:t>u postupku rješavanja spora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AAC" w:rsidRPr="005D503F">
        <w:rPr>
          <w:rFonts w:ascii="Times New Roman" w:eastAsia="Times New Roman" w:hAnsi="Times New Roman" w:cs="Times New Roman"/>
          <w:sz w:val="24"/>
          <w:szCs w:val="24"/>
        </w:rPr>
        <w:t xml:space="preserve">pred Vijećem </w:t>
      </w:r>
      <w:r w:rsidR="00415AAC">
        <w:rPr>
          <w:rFonts w:ascii="Times New Roman" w:eastAsia="Times New Roman" w:hAnsi="Times New Roman" w:cs="Times New Roman"/>
          <w:sz w:val="24"/>
          <w:szCs w:val="24"/>
        </w:rPr>
        <w:t>ICAO-a</w:t>
      </w:r>
      <w:r w:rsidR="00415AAC" w:rsidRPr="005D503F">
        <w:rPr>
          <w:rFonts w:ascii="Times New Roman" w:eastAsia="Times New Roman" w:hAnsi="Times New Roman" w:cs="Times New Roman"/>
          <w:sz w:val="24"/>
          <w:szCs w:val="24"/>
        </w:rPr>
        <w:t xml:space="preserve"> koji je protiv Republike Hrvatske pokrenula Ruska Federacija</w:t>
      </w:r>
      <w:r w:rsidR="00415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5AA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ciljem uspostave aktivne obrane Republike Hrvatske čim Vijeće ICAO</w:t>
      </w:r>
      <w:r w:rsidR="00415AAC"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usvoji službeni vremenski okvir za ovaj postupak.</w:t>
      </w:r>
      <w:r w:rsidR="00BE3EA3">
        <w:rPr>
          <w:rFonts w:ascii="Times New Roman" w:eastAsia="Times New Roman" w:hAnsi="Times New Roman" w:cs="Times New Roman"/>
          <w:sz w:val="24"/>
          <w:szCs w:val="24"/>
        </w:rPr>
        <w:t xml:space="preserve"> Također se predlaže utvrđivanje zaduženja Ministarstvu  mora, prometa i infrastrukture da u konzultacijama i koordinaciji s Ministarstvom vanjskih i europskih poslova </w:t>
      </w:r>
      <w:r w:rsidR="00F31D13">
        <w:rPr>
          <w:rFonts w:ascii="Times New Roman" w:eastAsia="Times New Roman" w:hAnsi="Times New Roman" w:cs="Times New Roman"/>
          <w:sz w:val="24"/>
          <w:szCs w:val="24"/>
        </w:rPr>
        <w:t>pripremi podneske u postupku rješavanja spora pred Vijećem ICAO-a, kao i zaduženje za provedbu ove Odluke i koordinaciju svih aktivnosti koje iz nje proizlaze.</w:t>
      </w:r>
    </w:p>
    <w:sectPr w:rsidR="00F304D8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9A8F" w14:textId="77777777" w:rsidR="00D15969" w:rsidRDefault="00D15969">
      <w:pPr>
        <w:spacing w:after="0" w:line="240" w:lineRule="auto"/>
      </w:pPr>
      <w:r>
        <w:separator/>
      </w:r>
    </w:p>
  </w:endnote>
  <w:endnote w:type="continuationSeparator" w:id="0">
    <w:p w14:paraId="693A8596" w14:textId="77777777" w:rsidR="00D15969" w:rsidRDefault="00D1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ECD9" w14:textId="77777777" w:rsidR="00F304D8" w:rsidRDefault="00E76032">
    <w:pPr>
      <w:pBdr>
        <w:top w:val="single" w:sz="4" w:space="1" w:color="40404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20"/>
        <w:szCs w:val="20"/>
      </w:rPr>
    </w:pPr>
    <w:r>
      <w:rPr>
        <w:rFonts w:ascii="Times New Roman" w:eastAsia="Times New Roman" w:hAnsi="Times New Roman" w:cs="Times New Roman"/>
        <w:color w:val="404040"/>
        <w:sz w:val="20"/>
        <w:szCs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26E0" w14:textId="77777777" w:rsidR="00D15969" w:rsidRDefault="00D15969">
      <w:pPr>
        <w:spacing w:after="0" w:line="240" w:lineRule="auto"/>
      </w:pPr>
      <w:r>
        <w:separator/>
      </w:r>
    </w:p>
  </w:footnote>
  <w:footnote w:type="continuationSeparator" w:id="0">
    <w:p w14:paraId="2A951366" w14:textId="77777777" w:rsidR="00D15969" w:rsidRDefault="00D15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D8"/>
    <w:rsid w:val="000F0D60"/>
    <w:rsid w:val="001C364D"/>
    <w:rsid w:val="00247B98"/>
    <w:rsid w:val="00320509"/>
    <w:rsid w:val="00415AAC"/>
    <w:rsid w:val="00434A52"/>
    <w:rsid w:val="00436CE7"/>
    <w:rsid w:val="004433B9"/>
    <w:rsid w:val="004B55A4"/>
    <w:rsid w:val="00503826"/>
    <w:rsid w:val="005842AC"/>
    <w:rsid w:val="00593FCB"/>
    <w:rsid w:val="005D503F"/>
    <w:rsid w:val="00634A97"/>
    <w:rsid w:val="00707615"/>
    <w:rsid w:val="00813756"/>
    <w:rsid w:val="0082403C"/>
    <w:rsid w:val="008E7581"/>
    <w:rsid w:val="009028F4"/>
    <w:rsid w:val="00927A30"/>
    <w:rsid w:val="00A21EC3"/>
    <w:rsid w:val="00B02024"/>
    <w:rsid w:val="00BE3EA3"/>
    <w:rsid w:val="00C03D28"/>
    <w:rsid w:val="00CC458B"/>
    <w:rsid w:val="00D15969"/>
    <w:rsid w:val="00E76032"/>
    <w:rsid w:val="00E80D2B"/>
    <w:rsid w:val="00F171E8"/>
    <w:rsid w:val="00F304D8"/>
    <w:rsid w:val="00F31D13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17C0"/>
  <w15:docId w15:val="{4A1AED8D-844C-47F0-9A14-00B5DF47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77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D33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7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4B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FDD"/>
    <w:pPr>
      <w:spacing w:after="0" w:line="240" w:lineRule="auto"/>
    </w:pPr>
  </w:style>
  <w:style w:type="character" w:customStyle="1" w:styleId="bumpedfont15">
    <w:name w:val="bumpedfont15"/>
    <w:basedOn w:val="DefaultParagraphFont"/>
    <w:rsid w:val="00A96070"/>
  </w:style>
  <w:style w:type="paragraph" w:styleId="Header">
    <w:name w:val="header"/>
    <w:basedOn w:val="Normal"/>
    <w:link w:val="HeaderChar"/>
    <w:rsid w:val="00B777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77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B777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771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7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JsaSUYxsUCKrKQrdlhdo9VWD5A==">CgMxLjAyCGguZ2pkZ3hzMgloLjFmb2I5dGU4AHIhMXFOTTAyTEtlbnRWczVPb3lTN1Bpamlhc210blVyZzNZ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AZJMDCZ6QSYZ-1849078857-37576</_dlc_DocId>
    <_dlc_DocIdUrl xmlns="a494813a-d0d8-4dad-94cb-0d196f36ba15">
      <Url>https://ekoordinacije.vlada.hr/koordinacija-gospodarstvo/_layouts/15/DocIdRedir.aspx?ID=AZJMDCZ6QSYZ-1849078857-37576</Url>
      <Description>AZJMDCZ6QSYZ-1849078857-37576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21E288-707B-4BE0-8F62-FD23D47F868D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918468AC-9E08-419D-A165-6FFBBD63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B7F23-622F-4B7D-94EA-8F689DE030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6FAE04-CD58-4E21-9CD5-03F3C6777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Valković</dc:creator>
  <cp:lastModifiedBy>Barbara Galović</cp:lastModifiedBy>
  <cp:revision>2</cp:revision>
  <dcterms:created xsi:type="dcterms:W3CDTF">2024-04-10T11:30:00Z</dcterms:created>
  <dcterms:modified xsi:type="dcterms:W3CDTF">2024-04-10T11:30:00Z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d4cc13a0-9f65-47d0-9fff-1deb4fb96de7</vt:lpwstr>
  </property>
</Properties>
</file>